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/>
        <w:spacing w:before="0" w:after="0" w:line="480" w:lineRule="auto"/>
        <w:ind w:left="0" w:right="0"/>
        <w:jc w:val="center"/>
      </w:pPr>
      <w:r>
        <w:rPr>
          <w:rFonts w:ascii="times new roman" w:hAnsi="times new roman" w:cs="times new roman"/>
          <w:color w:val="000000"/>
          <w:sz w:val="24"/>
        </w:rPr>
        <w:t xml:space="preserve">Works Cited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Bringhurst, Bruce.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Antitrust and the Oil Monopoly</w:t>
      </w:r>
      <w:r>
        <w:rPr>
          <w:rFonts w:ascii="times new roman" w:hAnsi="times new roman" w:cs="times new roman"/>
          <w:color w:val="000000"/>
          <w:sz w:val="24"/>
        </w:rPr>
        <w:t xml:space="preserve">. N.p.: n.p., 1976. Print.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Chernow, Ron.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Titan: The Life of John D. Rockefeller, Sr. Warner Books</w:t>
      </w:r>
      <w:r>
        <w:rPr>
          <w:rFonts w:ascii="times new roman" w:hAnsi="times new roman" w:cs="times new roman"/>
          <w:color w:val="000000"/>
          <w:sz w:val="24"/>
        </w:rPr>
        <w:t xml:space="preserve">. N.p.: n.p., 1998. Print.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Collier, Peter, and David Horowitz.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The Rockefellers</w:t>
      </w:r>
      <w:r>
        <w:rPr>
          <w:rFonts w:ascii="times new roman" w:hAnsi="times new roman" w:cs="times new roman"/>
          <w:color w:val="000000"/>
          <w:sz w:val="24"/>
        </w:rPr>
        <w:t xml:space="preserve">. N.p.: n.p., 1976. Print.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Dalton, Dennis.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Mahatma Gandhi's Ideas Including Selections from His Writings</w:t>
      </w:r>
      <w:r>
        <w:rPr>
          <w:rFonts w:ascii="times new roman" w:hAnsi="times new roman" w:cs="times new roman"/>
          <w:color w:val="000000"/>
          <w:sz w:val="24"/>
        </w:rPr>
        <w:t xml:space="preserve">. N.p.: n.p., 2008. Print.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Fosdick, Raymond.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The Story of the Rockefeller Foundation</w:t>
      </w:r>
      <w:r>
        <w:rPr>
          <w:rFonts w:ascii="times new roman" w:hAnsi="times new roman" w:cs="times new roman"/>
          <w:color w:val="000000"/>
          <w:sz w:val="24"/>
        </w:rPr>
        <w:t xml:space="preserve">. N.p.: n.p., 1952. Print.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Mbeki: Mahatma Gandhi Satyagraha 100th Anniversary</w:t>
      </w:r>
      <w:r>
        <w:rPr>
          <w:rFonts w:ascii="times new roman" w:hAnsi="times new roman" w:cs="times new roman"/>
          <w:color w:val="000000"/>
          <w:sz w:val="24"/>
        </w:rPr>
        <w:t xml:space="preserve">. N.p., n.d. Web. 13 Dec. 2012. &lt;http://www.polity.org.za/article/mbeki-mahatma-gandhi-satyagraha-100th-anniversary-01102006-2006-10-01&gt;.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The Partition of India</w:t>
      </w:r>
      <w:r>
        <w:rPr>
          <w:rFonts w:ascii="times new roman" w:hAnsi="times new roman" w:cs="times new roman"/>
          <w:color w:val="000000"/>
          <w:sz w:val="24"/>
        </w:rPr>
        <w:t xml:space="preserve">. N.p., n.d. Web. 13 Dec. 2012. &lt;http://www.english.emory.edu/Bahri/Part.html&gt;.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Vegetarianism: The Road to Satyagraha</w:t>
      </w:r>
      <w:r>
        <w:rPr>
          <w:rFonts w:ascii="times new roman" w:hAnsi="times new roman" w:cs="times new roman"/>
          <w:color w:val="000000"/>
          <w:sz w:val="24"/>
        </w:rPr>
        <w:t xml:space="preserve">. N.p., n.d. Web. 13 Dec. 2012. &lt;http://www.ivu.org/history/gandhi/road.html&gt;.</w:t>
      </w:r>
    </w:p>
    <w:sectPr xmlns:w="http://schemas.openxmlformats.org/wordprocessingml/2006/main" w:rsidR="00AC197E" w:rsidRPr="00DF064E" w:rsidSect="000F6147">
      <w:pgSz w:w="12240" w:h="15840" w:orient="portrait" w:code="9"/>
      <w:pgMar w:top="1444" w:right="1444" w:bottom="1444" w:left="1444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